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491 ZPO — Ladung des Gegners</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Gegner ist, sofern es nach den Umständen des Falles geschehen kann, unter Zustellung des Beschlusses und einer Abschrift des Antrags zu dem für die Beweisaufnahme bestimmten Termin so zeitig zu laden, dass er in diesem Termin seine Rechte wahrzunehmen vermag.</w:t>
      </w:r>
    </w:p>
    <w:p>
      <w:r>
        <w:t xml:space="preserve">(2) Die Nichtbefolgung dieser Vorschrift steht der Beweisaufnahme nicht entgegen.</w:t>
      </w:r>
    </w:p>
    <w:p>
      <w:r>
        <w:rPr>
          <w:color w:val="555555"/>
          <w:sz w:val="17"/>
        </w:rPr>
        <w:t xml:space="preserve">Zitiervorschlag: § 491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