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446 ZPO — Weigerung des Gegners</w:t>
      </w:r>
    </w:p>
    <w:p>
      <w:r>
        <w:rPr>
          <w:color w:val="555555"/>
          <w:sz w:val="18"/>
        </w:rPr>
        <w:t xml:space="preserve">Zivilprozessordnung</w:t>
      </w:r>
    </w:p>
    <w:p>
      <w:r>
        <w:rPr>
          <w:color w:val="555555"/>
          <w:sz w:val="18"/>
        </w:rPr>
        <w:t xml:space="preserve">Stand: 10.06.2019 (konsolidierte Textfassung, kein amtliches Inkrafttretensdatum)</w:t>
      </w:r>
    </w:p>
    <w:p>
      <w:r>
        <w:t xml:space="preserve">Lehnt der Gegner ab, sich vernehmen zu lassen, oder gibt er auf Verlangen des Gerichts keine Erklärung ab, so hat das Gericht unter Berücksichtigung der gesamten Sachlage, insbesondere der für die Weigerung vorgebrachten Gründe, nach freier Überzeugung zu entscheiden, ob es die behauptete Tatsache als erwiesen ansehen will.</w:t>
      </w:r>
    </w:p>
    <w:p>
      <w:r>
        <w:rPr>
          <w:color w:val="555555"/>
          <w:sz w:val="17"/>
        </w:rPr>
        <w:t xml:space="preserve">Zitiervorschlag: § 446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