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444 ZPO — Folgen der Beseitigung einer Urkunde</w:t>
      </w:r>
    </w:p>
    <w:p>
      <w:r>
        <w:rPr>
          <w:color w:val="555555"/>
          <w:sz w:val="18"/>
        </w:rPr>
        <w:t xml:space="preserve">Zivilprozessordnung</w:t>
      </w:r>
    </w:p>
    <w:p>
      <w:r>
        <w:rPr>
          <w:color w:val="555555"/>
          <w:sz w:val="18"/>
        </w:rPr>
        <w:t xml:space="preserve">Stand: 10.06.2019 (konsolidierte Textfassung, kein amtliches Inkrafttretensdatum)</w:t>
      </w:r>
    </w:p>
    <w:p>
      <w:r>
        <w:t xml:space="preserve">Ist eine Urkunde von einer Partei in der Absicht, ihre Benutzung dem Gegner zu entziehen, beseitigt oder zur Benutzung untauglich gemacht, so können die Behauptungen des Gegners über die Beschaffenheit und den Inhalt der Urkunde als bewiesen angesehen werden.</w:t>
      </w:r>
    </w:p>
    <w:p>
      <w:r>
        <w:rPr>
          <w:color w:val="555555"/>
          <w:sz w:val="17"/>
        </w:rPr>
        <w:t xml:space="preserve">Zitiervorschlag: § 444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