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443 ZPO — Verwahrung verdächtiger Urkunden</w:t>
      </w:r>
    </w:p>
    <w:p>
      <w:r>
        <w:rPr>
          <w:color w:val="555555"/>
          <w:sz w:val="18"/>
        </w:rPr>
        <w:t xml:space="preserve">Zivilprozessordnung</w:t>
      </w:r>
    </w:p>
    <w:p>
      <w:r>
        <w:rPr>
          <w:color w:val="555555"/>
          <w:sz w:val="18"/>
        </w:rPr>
        <w:t xml:space="preserve">Stand: 10.06.2019 (konsolidierte Textfassung, kein amtliches Inkrafttretensdatum)</w:t>
      </w:r>
    </w:p>
    <w:p>
      <w:r>
        <w:t xml:space="preserve">Urkunden, deren Echtheit bestritten ist oder deren Inhalt verändert sein soll, werden bis zur Erledigung des Rechtsstreits auf der Geschäftsstelle verwahrt, sofern nicht ihre Auslieferung an eine andere Behörde im Interesse der öffentlichen Ordnung erforderlich ist.</w:t>
      </w:r>
    </w:p>
    <w:p>
      <w:r>
        <w:rPr>
          <w:color w:val="555555"/>
          <w:sz w:val="17"/>
        </w:rPr>
        <w:t xml:space="preserve">Zitiervorschlag: § 443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