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439 ZPO — Erklärung über Echtheit von Privaturkunden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Echtheit einer Privaturkunde hat sich der Gegner des Beweisführers nach der Vorschrift des § 138 zu erklären.</w:t>
      </w:r>
    </w:p>
    <w:p>
      <w:r>
        <w:t xml:space="preserve">(2) Befindet sich unter der Urkunde eine Namensunterschrift, so ist die Erklärung auf die Echtheit der Unterschrift zu richten.</w:t>
      </w:r>
    </w:p>
    <w:p>
      <w:r>
        <w:t xml:space="preserve">(3) Wird die Erklärung nicht abgegeben, so ist die Urkunde als anerkannt anzusehen, wenn nicht die Absicht, die Echtheit bestreiten zu wollen, aus den übrigen Erklärungen der Partei hervorgeht.</w:t>
      </w:r>
    </w:p>
    <w:p>
      <w:r>
        <w:rPr>
          <w:color w:val="555555"/>
          <w:sz w:val="17"/>
        </w:rPr>
        <w:t xml:space="preserve">Zitiervorschlag: § 439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