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437 ZPO — Echtheit inländischer öffentlicher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Urkunden, die nach Form und Inhalt als von einer öffentlichen Behörde oder von einer mit öffentlichem Glauben versehenen Person errichtet sich darstellen, haben die Vermutung der Echtheit für sich.</w:t>
      </w:r>
    </w:p>
    <w:p>
      <w:r>
        <w:t xml:space="preserve">(2) Das Gericht kann, wenn es die Echtheit für zweifelhaft hält, auch von Amts wegen die Behörde oder die Person, von der die Urkunde errichtet sein soll, zu einer Erklärung über die Echtheit veranlassen.</w:t>
      </w:r>
    </w:p>
    <w:p>
      <w:r>
        <w:rPr>
          <w:color w:val="555555"/>
          <w:sz w:val="17"/>
        </w:rPr>
        <w:t xml:space="preserve">Zitiervorschlag: § 437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