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428 ZPO — Vorlegung durch Dritte; Beweisantritt</w:t>
      </w:r>
    </w:p>
    <w:p>
      <w:r>
        <w:rPr>
          <w:color w:val="555555"/>
          <w:sz w:val="18"/>
        </w:rPr>
        <w:t xml:space="preserve">Zivilprozessordnung</w:t>
      </w:r>
    </w:p>
    <w:p>
      <w:r>
        <w:rPr>
          <w:color w:val="555555"/>
          <w:sz w:val="18"/>
        </w:rPr>
        <w:t xml:space="preserve">Stand: 10.06.2019 (konsolidierte Textfassung, kein amtliches Inkrafttretensdatum)</w:t>
      </w:r>
    </w:p>
    <w:p>
      <w:r>
        <w:t xml:space="preserve">Befindet sich die Urkunde nach der Behauptung des Beweisführers im Besitz eines Dritten, so wird der Beweis durch den Antrag angetreten, zur Herbeischaffung der Urkunde eine Frist zu bestimmen oder eine Anordnung nach § 142 zu erlassen.</w:t>
      </w:r>
    </w:p>
    <w:p>
      <w:r>
        <w:rPr>
          <w:color w:val="555555"/>
          <w:sz w:val="17"/>
        </w:rPr>
        <w:t xml:space="preserve">Zitiervorschlag: § 428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