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ZPO — Ablehnung eines Richters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Richter kann sowohl in den Fällen, in denen er von der Ausübung des Richteramts kraft Gesetzes ausgeschlossen ist, als auch wegen Besorgnis der Befangenheit abgelehnt werden.</w:t>
      </w:r>
    </w:p>
    <w:p>
      <w:r>
        <w:t xml:space="preserve">(2) Wegen Besorgnis der Befangenheit findet die Ablehnung statt, wenn ein Grund vorliegt, der geeignet ist, Misstrauen gegen die Unparteilichkeit eines Richters zu rechtfertigen.</w:t>
      </w:r>
    </w:p>
    <w:p>
      <w:r>
        <w:t xml:space="preserve">(3) Das Ablehnungsrecht steht in jedem Fall beiden Parteien zu.</w:t>
      </w:r>
    </w:p>
    <w:p>
      <w:r>
        <w:rPr>
          <w:color w:val="555555"/>
          <w:sz w:val="17"/>
        </w:rPr>
        <w:t xml:space="preserve">Zitiervorschlag: § 42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