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419 ZPO — Beweiskraft mangelbehafteter Urkunden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Inwiefern Durchstreichungen, Radierungen, Einschaltungen oder sonstige äußere Mängel die Beweiskraft einer Urkunde ganz oder teilweise aufheben oder mindern, entscheidet das Gericht nach freier Überzeugung.</w:t>
      </w:r>
    </w:p>
    <w:p>
      <w:r>
        <w:rPr>
          <w:color w:val="555555"/>
          <w:sz w:val="17"/>
        </w:rPr>
        <w:t xml:space="preserve">Zitiervorschlag: § 419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https://recht.nulegal.eu/gesetze/ZPO/419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