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418 ZPO — Beweiskraft öffentlicher Urkunden mit anderem Inhalt</w:t>
      </w:r>
    </w:p>
    <w:p>
      <w:r>
        <w:rPr>
          <w:color w:val="555555"/>
          <w:sz w:val="18"/>
        </w:rPr>
        <w:t xml:space="preserve">Zivilprozessordnung</w:t>
      </w:r>
    </w:p>
    <w:p>
      <w:r>
        <w:rPr>
          <w:color w:val="555555"/>
          <w:sz w:val="18"/>
        </w:rPr>
        <w:t xml:space="preserve">Stand: 10.06.2019 (konsolidierte Textfassung, kein amtliches Inkrafttretensdatum)</w:t>
      </w:r>
    </w:p>
    <w:p>
      <w:r>
        <w:t xml:space="preserve">(1) Öffentliche Urkunden, die einen anderen als den in den §§ 415, 417 bezeichneten Inhalt haben, begründen vollen Beweis der darin bezeugten Tatsachen.</w:t>
      </w:r>
    </w:p>
    <w:p>
      <w:r>
        <w:t xml:space="preserve">(2) Der Beweis der Unrichtigkeit der bezeugten Tatsachen ist zulässig, sofern nicht die Landesgesetze diesen Beweis ausschließen oder beschränken.</w:t>
      </w:r>
    </w:p>
    <w:p>
      <w:r>
        <w:t xml:space="preserve">(3) Beruht das Zeugnis nicht auf eigener Wahrnehmung der Behörde oder der Urkundsperson, so ist die Vorschrift des ersten Absatzes nur dann anzuwenden, wenn sich aus den Landesgesetzen ergibt, dass die Beweiskraft des Zeugnisses von der eigenen Wahrnehmung unabhängig ist.</w:t>
      </w:r>
    </w:p>
    <w:p>
      <w:r>
        <w:rPr>
          <w:color w:val="555555"/>
          <w:sz w:val="17"/>
        </w:rPr>
        <w:t xml:space="preserve">Zitiervorschlag: § 418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https://recht.nulegal.eu/gesetze/ZPO/418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