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406 ZPO — Ablehnung eines Sachverständigen</w:t>
      </w:r>
    </w:p>
    <w:p>
      <w:r>
        <w:rPr>
          <w:color w:val="555555"/>
          <w:sz w:val="18"/>
        </w:rPr>
        <w:t xml:space="preserve">Zivilprozessordnung</w:t>
      </w:r>
    </w:p>
    <w:p>
      <w:r>
        <w:rPr>
          <w:color w:val="555555"/>
          <w:sz w:val="18"/>
        </w:rPr>
        <w:t xml:space="preserve">Stand: 10.06.2019 (konsolidierte Textfassung, kein amtliches Inkrafttretensdatum)</w:t>
      </w:r>
    </w:p>
    <w:p>
      <w:r>
        <w:t xml:space="preserve">(1) Ein Sachverständiger kann aus denselben Gründen, die zur Ablehnung eines Richters berechtigen, abgelehnt werden. Ein Ablehnungsgrund kann jedoch nicht daraus entnommen werden, dass der Sachverständige als Zeuge vernommen worden ist.</w:t>
      </w:r>
    </w:p>
    <w:p>
      <w:r>
        <w:t xml:space="preserve">(2) Der Ablehnungsantrag ist bei dem Gericht oder Richter, von dem der Sachverständige ernannt ist, vor seiner Vernehmung zu stellen, spätestens jedoch binnen zwei Wochen nach Verkündung oder Zustellung des Beschlusses über die Ernennung. Zu einem späteren Zeitpunkt ist die Ablehnung nur zulässig, wenn der Antragsteller glaubhaft macht, dass er ohne sein Verschulden verhindert war, den Ablehnungsgrund früher geltend zu machen. Der Antrag kann vor der Geschäftsstelle zu Protokoll erklärt werden.</w:t>
      </w:r>
    </w:p>
    <w:p>
      <w:r>
        <w:t xml:space="preserve">(3) Der Ablehnungsgrund ist glaubhaft zu machen; zur Versicherung an Eides statt darf die Partei nicht zugelassen werden.</w:t>
      </w:r>
    </w:p>
    <w:p>
      <w:r>
        <w:t xml:space="preserve">(4) Die Entscheidung ergeht von dem im zweiten Absatz bezeichneten Gericht oder Richter durch Beschluss.</w:t>
      </w:r>
    </w:p>
    <w:p>
      <w:r>
        <w:t xml:space="preserve">(5) Gegen den Beschluss, durch den die Ablehnung für begründet erklärt wird, findet kein Rechtsmittel, gegen den Beschluss, durch den sie für unbegründet erklärt wird, findet sofortige Beschwerde statt.</w:t>
      </w:r>
    </w:p>
    <w:p>
      <w:r>
        <w:rPr>
          <w:color w:val="555555"/>
          <w:sz w:val="17"/>
        </w:rPr>
        <w:t xml:space="preserve">Zitiervorschlag: § 406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