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382 ZPO — Vernehmung an bestimmten Orten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Bundesregierung oder einer Landesregierung sind an ihrem Amtssitz oder, wenn sie sich außerhalb ihres Amtssitzes aufhalten, an ihrem Aufenthaltsort zu vernehmen.</w:t>
      </w:r>
    </w:p>
    <w:p>
      <w:r>
        <w:t xml:space="preserve">(2) Die Mitglieder des Bundestages, des Bundesrates, eines Landtages oder einer zweiten Kammer sind während ihres Aufenthaltes am Sitz der Versammlung dort zu vernehmen.</w:t>
      </w:r>
    </w:p>
    <w:p>
      <w:r>
        <w:t xml:space="preserve">(3) Zu einer Abweichung von den vorstehenden Vorschriften bedarf es:</w:t>
      </w:r>
    </w:p>
    <w:p>
      <w:pPr>
        <w:ind w:left="420"/>
      </w:pPr>
      <w:r>
        <w:t xml:space="preserve">für die Mitglieder der Bundesregierung der Genehmigung der Bundesregierung,für die Mitglieder einer Landesregierung der Genehmigung der Landesregierung,für die Mitglieder einer der im Absatz 2 genannten Versammlungen der Genehmigung dieser Versammlung.</w:t>
      </w:r>
    </w:p>
    <w:p>
      <w:r>
        <w:rPr>
          <w:color w:val="555555"/>
          <w:sz w:val="17"/>
        </w:rPr>
        <w:t xml:space="preserve">Zitiervorschlag: § 382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