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348a ZPO — Obligatorischer Einzelrichter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originäre Einzelrichterzuständigkeit nach § 348 Abs. 1 nicht begründet, überträgt die Zivilkammer die Sache durch Beschluss einem ihrer Mitglieder als Einzelrichter zur Entscheidung, wenn</w:t>
      </w:r>
    </w:p>
    <w:p>
      <w:pPr>
        <w:ind w:left="420"/>
      </w:pPr>
      <w:r>
        <w:t xml:space="preserve">1. die Sache keine besonderen Schwierigkeiten tatsächlicher oder rechtlicher Art aufweist,</w:t>
      </w:r>
    </w:p>
    <w:p>
      <w:pPr>
        <w:ind w:left="420"/>
      </w:pPr>
      <w:r>
        <w:t xml:space="preserve">2. die Rechtssache keine grundsätzliche Bedeutung hat und</w:t>
      </w:r>
    </w:p>
    <w:p>
      <w:pPr>
        <w:ind w:left="420"/>
      </w:pPr>
      <w:r>
        <w:t xml:space="preserve">3. nicht bereits im Haupttermin vor der Zivilkammer zur Hauptsache verhandelt worden ist, es sei denn, dass inzwischen ein Vorbehalts-, Teil- oder Zwischenurteil ergangen ist.</w:t>
      </w:r>
    </w:p>
    <w:p>
      <w:r>
        <w:t xml:space="preserve">(2) Der Einzelrichter legt den Rechtsstreit der Zivilkammer zur Entscheidung über eine Übernahme vor, wenn</w:t>
      </w:r>
    </w:p>
    <w:p>
      <w:pPr>
        <w:ind w:left="420"/>
      </w:pPr>
      <w:r>
        <w:t xml:space="preserve">1. sich aus einer wesentlichen Änderung der Prozesslage besondere tatsächliche oder rechtliche Schwierigkeiten der Sache oder die grundsätzliche Bedeutung der Rechtssache ergeben oder</w:t>
      </w:r>
    </w:p>
    <w:p>
      <w:pPr>
        <w:ind w:left="420"/>
      </w:pPr>
      <w:r>
        <w:t xml:space="preserve">2. die Parteien dies übereinstimmend beantragen.</w:t>
      </w:r>
    </w:p>
    <w:p>
      <w:r>
        <w:t xml:space="preserve">Die Kammer übernimmt den Rechtsstreit, wenn die Voraussetzungen nach Satz 1 Nr. 1 vorliegen. Sie entscheidet hierüber nach Anhörung der Parteien durch Beschluss. Eine erneute Übertragung auf den Einzelrichter ist ausgeschlossen.</w:t>
      </w:r>
    </w:p>
    <w:p>
      <w:r>
        <w:t xml:space="preserve">(3) Auf eine erfolgte oder unterlassene Übertragung, Vorlage oder Übernahme kann ein Rechtsmittel nicht gestützt werden.</w:t>
      </w:r>
    </w:p>
    <w:p>
      <w:r>
        <w:rPr>
          <w:color w:val="555555"/>
          <w:sz w:val="17"/>
        </w:rPr>
        <w:t xml:space="preserve">Zitiervorschlag: § 348a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