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348 ZPO — Originärer Einzelrichter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 Zivilkammer entscheidet durch eines ihrer Mitglieder als Einzelrichter. Dies gilt nicht, wenn</w:t>
      </w:r>
    </w:p>
    <w:p>
      <w:pPr>
        <w:ind w:left="420"/>
      </w:pPr>
      <w:r>
        <w:t xml:space="preserve">1. das Mitglied Richter auf Probe ist und noch nicht über einen Zeitraum von einem Jahr geschäftsverteilungsplanmäßig Rechtsprechungsaufgaben in bürgerlichen Rechtsstreitigkeiten wahrzunehmen hatte oder</w:t>
      </w:r>
    </w:p>
    <w:p>
      <w:pPr>
        <w:ind w:left="420"/>
      </w:pPr>
      <w:r>
        <w:t xml:space="preserve">2. die Zuständigkeit der Kammer nach § 72a Absatz 1 und 2 des Gerichtsverfassungsgesetzes oder nach dem Geschäftsverteilungsplan des Gerichts wegen der Zuordnung des Rechtsstreits zu den nachfolgenden Sachgebieten begründet ist:</w:t>
      </w:r>
    </w:p>
    <w:p>
      <w:pPr>
        <w:ind w:left="780"/>
      </w:pPr>
      <w:r>
        <w:t xml:space="preserve">a) (weggefallen)</w:t>
      </w:r>
    </w:p>
    <w:p>
      <w:pPr>
        <w:ind w:left="780"/>
      </w:pPr>
      <w:r>
        <w:t xml:space="preserve">b) Streitigkeiten aus Bank- und Finanzgeschäften;</w:t>
      </w:r>
    </w:p>
    <w:p>
      <w:pPr>
        <w:ind w:left="780"/>
      </w:pPr>
      <w:r>
        <w:t xml:space="preserve">c) Streitigkeiten aus Bau- und Architektenverträgen sowie aus Ingenieurverträgen, soweit sie im Zusammenhang mit Bauleistungen stehen;</w:t>
      </w:r>
    </w:p>
    <w:p>
      <w:pPr>
        <w:ind w:left="780"/>
      </w:pPr>
      <w:r>
        <w:t xml:space="preserve">d) Streitigkeiten aus der Berufstätigkeit der Rechtsanwälte, Patentanwälte, Notare, Steuerberater, Steuerbevollmächtigten, Wirtschaftsprüfer und vereidigten Buchprüfer;</w:t>
      </w:r>
    </w:p>
    <w:p>
      <w:pPr>
        <w:ind w:left="780"/>
      </w:pPr>
      <w:r>
        <w:t xml:space="preserve">e) (weggefallen)</w:t>
      </w:r>
    </w:p>
    <w:p>
      <w:pPr>
        <w:ind w:left="780"/>
      </w:pPr>
      <w:r>
        <w:t xml:space="preserve">f) Streitigkeiten aus Handelssachen im Sinne des § 95 des Gerichtsverfassungsgesetzes;</w:t>
      </w:r>
    </w:p>
    <w:p>
      <w:pPr>
        <w:ind w:left="780"/>
      </w:pPr>
      <w:r>
        <w:t xml:space="preserve">g) Streitigkeiten über Ansprüche aus Fracht-, Speditions- und Lagergeschäften;</w:t>
      </w:r>
    </w:p>
    <w:p>
      <w:pPr>
        <w:ind w:left="780"/>
      </w:pPr>
      <w:r>
        <w:t xml:space="preserve">h) Streitigkeiten aus Versicherungsvertragsverhältnissen;</w:t>
      </w:r>
    </w:p>
    <w:p>
      <w:pPr>
        <w:ind w:left="780"/>
      </w:pPr>
      <w:r>
        <w:t xml:space="preserve">i) Streitigkeiten aus den Bereichen des Urheber- und Verlagsrechts;</w:t>
      </w:r>
    </w:p>
    <w:p>
      <w:pPr>
        <w:ind w:left="780"/>
      </w:pPr>
      <w:r>
        <w:t xml:space="preserve">j) Streitigkeiten aus den Bereichen der Kommunikations- und Informationstechnologie;</w:t>
      </w:r>
    </w:p>
    <w:p>
      <w:pPr>
        <w:ind w:left="780"/>
      </w:pPr>
      <w:r>
        <w:t xml:space="preserve">k) Streitigkeiten, die dem Landgericht ohne Rücksicht auf den Streitwert zugewiesen sind.</w:t>
      </w:r>
    </w:p>
    <w:p>
      <w:r>
        <w:t xml:space="preserve">(2) Bei Zweifeln über das Vorliegen der Voraussetzungen des Absatzes 1 entscheidet die Kammer durch unanfechtbaren Beschluss.</w:t>
      </w:r>
    </w:p>
    <w:p>
      <w:r>
        <w:t xml:space="preserve">(3) Der Einzelrichter legt den Rechtsstreit der Zivilkammer zur Entscheidung über eine Übernahme vor, wenn</w:t>
      </w:r>
    </w:p>
    <w:p>
      <w:pPr>
        <w:ind w:left="420"/>
      </w:pPr>
      <w:r>
        <w:t xml:space="preserve">1. die Sache besondere Schwierigkeiten tatsächlicher oder rechtlicher Art aufweist,</w:t>
      </w:r>
    </w:p>
    <w:p>
      <w:pPr>
        <w:ind w:left="420"/>
      </w:pPr>
      <w:r>
        <w:t xml:space="preserve">2. die Rechtssache grundsätzliche Bedeutung hat oder</w:t>
      </w:r>
    </w:p>
    <w:p>
      <w:pPr>
        <w:ind w:left="420"/>
      </w:pPr>
      <w:r>
        <w:t xml:space="preserve">3. die Parteien dies übereinstimmend beantragen.</w:t>
      </w:r>
    </w:p>
    <w:p>
      <w:r>
        <w:t xml:space="preserve">Die Kammer übernimmt den Rechtsstreit, wenn die Voraussetzungen nach Satz 1 Nr. 1 oder 2 vorliegen. Sie entscheidet hierüber durch Beschluss. Eine Zurückübertragung auf den Einzelrichter ist ausgeschlossen.</w:t>
      </w:r>
    </w:p>
    <w:p>
      <w:r>
        <w:t xml:space="preserve">(4) Auf eine erfolgte oder unterlassene Vorlage oder Übernahme kann ein Rechtsmittel nicht gestützt werden.</w:t>
      </w:r>
    </w:p>
    <w:p>
      <w:r>
        <w:rPr>
          <w:color w:val="555555"/>
          <w:sz w:val="17"/>
        </w:rPr>
        <w:t xml:space="preserve">Zitiervorschlag: § 348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