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347 ZPO — Verfahren bei Widerklage und Zwischenstreit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Titels gelten für das Verfahren, das eine Widerklage oder die Bestimmung des Betrages eines dem Grunde nach bereits festgestellten Anspruchs zum Gegenstand hat, entsprechend.</w:t>
      </w:r>
    </w:p>
    <w:p>
      <w:r>
        <w:t xml:space="preserve">(2) War ein Termin lediglich zur Verhandlung über einen Zwischenstreit bestimmt, so beschränkt sich das Versäumnisverfahren und das Versäumnisurteil auf die Erledigung dieses Zwischenstreits. Die Vorschriften dieses Titels gelten entsprechend.</w:t>
      </w:r>
    </w:p>
    <w:p>
      <w:r>
        <w:rPr>
          <w:color w:val="555555"/>
          <w:sz w:val="17"/>
        </w:rPr>
        <w:t xml:space="preserve">Zitiervorschlag: § 347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https://recht.nulegal.eu/gesetze/ZPO/347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