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340a ZPO — Zustellung der Einspruchsschrift</w:t>
      </w:r>
    </w:p>
    <w:p>
      <w:r>
        <w:rPr>
          <w:color w:val="555555"/>
          <w:sz w:val="18"/>
        </w:rPr>
        <w:t xml:space="preserve">Zivilprozessordnung</w:t>
      </w:r>
    </w:p>
    <w:p>
      <w:r>
        <w:rPr>
          <w:color w:val="555555"/>
          <w:sz w:val="18"/>
        </w:rPr>
        <w:t xml:space="preserve">Stand: 10.06.2019 (konsolidierte Textfassung, kein amtliches Inkrafttretensdatum)</w:t>
      </w:r>
    </w:p>
    <w:p>
      <w:r>
        <w:t xml:space="preserve">Die Einspruchsschrift ist der Gegenpartei zuzustellen. Dabei ist mitzuteilen, wann das Versäumnisurteil zugestellt und Einspruch eingelegt worden ist. Die erforderliche Zahl von Abschriften soll die Partei mit der Einspruchsschrift einreichen. Dies gilt nicht, wenn die Einspruchsschrift als elektronisches Dokument übermittelt wird.</w:t>
      </w:r>
    </w:p>
    <w:p>
      <w:r>
        <w:rPr>
          <w:color w:val="555555"/>
          <w:sz w:val="17"/>
        </w:rPr>
        <w:t xml:space="preserve">Zitiervorschlag: § 340a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