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339 ZPO — Einspruchsfrist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Einspruchsfrist beträgt zwei Wochen; sie ist eine Notfrist und beginnt mit der Zustellung des Versäumnisurteils.</w:t>
      </w:r>
    </w:p>
    <w:p>
      <w:r>
        <w:t xml:space="preserve">(2) Muss die Zustellung im Ausland erfolgen, so beträgt die Einspruchsfrist einen Monat. Das Gericht kann im Versäumnisurteil auch eine längere Frist bestimmen.</w:t>
      </w:r>
    </w:p>
    <w:p>
      <w:r>
        <w:t xml:space="preserve">(3) Muss die Zustellung durch öffentliche Bekanntmachung erfolgen, so hat das Gericht die Einspruchsfrist im Versäumnisurteil oder nachträglich durch besonderen Beschluss zu bestimmen.</w:t>
      </w:r>
    </w:p>
    <w:p>
      <w:r>
        <w:rPr>
          <w:color w:val="555555"/>
          <w:sz w:val="17"/>
        </w:rPr>
        <w:t xml:space="preserve">Zitiervorschlag: § 339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https://recht.nulegal.eu/gesetze/ZPO/339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