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331a ZPO — Entscheidung nach Aktenlage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Beim Ausbleiben einer Partei im Termin zur mündlichen Verhandlung kann der Gegner statt eines Versäumnisurteils eine Entscheidung nach Lage der Akten beantragen; dem Antrag ist zu entsprechen, wenn der Sachverhalt für eine derartige Entscheidung hinreichend geklärt erscheint. § 251a Abs. 2 gilt entsprechend.</w:t>
      </w:r>
    </w:p>
    <w:p>
      <w:r>
        <w:rPr>
          <w:color w:val="555555"/>
          <w:sz w:val="17"/>
        </w:rPr>
        <w:t xml:space="preserve">Zitiervorschlag: § 331a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https://recht.nulegal.eu/gesetze/ZPO/331a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