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ZPO — Besonderer Gerichtsstand der Widerklage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dem Gericht der Klage kann eine Widerklage erhoben werden, wenn der Gegenanspruch mit dem in der Klage geltend gemachten Anspruch oder mit den gegen ihn vorgebrachten Verteidigungsmitteln in Zusammenhang steht.</w:t>
      </w:r>
    </w:p>
    <w:p>
      <w:r>
        <w:t xml:space="preserve">(2) Dies gilt nicht, wenn für eine Klage wegen des Gegenanspruchs die Vereinbarung der Zuständigkeit des Gerichts nach § 40 Abs. 2 unzulässig ist.</w:t>
      </w:r>
    </w:p>
    <w:p>
      <w:r>
        <w:rPr>
          <w:color w:val="555555"/>
          <w:sz w:val="17"/>
        </w:rPr>
        <w:t xml:space="preserve">Zitiervorschlag: § 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