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323b ZPO — Verschärfte Haftung</w:t>
      </w:r>
    </w:p>
    <w:p>
      <w:r>
        <w:rPr>
          <w:color w:val="555555"/>
          <w:sz w:val="18"/>
        </w:rPr>
        <w:t xml:space="preserve">Zivilprozessordnung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Rechtshängigkeit einer auf Herabsetzung gerichteten Abänderungsklage steht bei der Anwendung des § 818 Abs. 4 des Bürgerlichen Gesetzbuchs der Rechtshängigkeit einer Klage auf Rückzahlung der geleisteten Beträge gleich.</w:t>
      </w:r>
    </w:p>
    <w:p>
      <w:r>
        <w:rPr>
          <w:color w:val="555555"/>
          <w:sz w:val="17"/>
        </w:rPr>
        <w:t xml:space="preserve">Zitiervorschlag: § 323b ZPO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https://recht.nulegal.eu/gesetze/ZPO/323b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