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322 ZPO — Materielle Rechtskraft</w:t>
      </w:r>
    </w:p>
    <w:p>
      <w:r>
        <w:rPr>
          <w:color w:val="555555"/>
          <w:sz w:val="18"/>
        </w:rPr>
        <w:t xml:space="preserve">Zivilprozessordnung</w:t>
      </w:r>
    </w:p>
    <w:p>
      <w:r>
        <w:rPr>
          <w:color w:val="555555"/>
          <w:sz w:val="18"/>
        </w:rPr>
        <w:t xml:space="preserve">Stand: 10.06.2019 (konsolidierte Textfassung, kein amtliches Inkrafttretensdatum)</w:t>
      </w:r>
    </w:p>
    <w:p>
      <w:r>
        <w:t xml:space="preserve">(1) Urteile sind der Rechtskraft nur insoweit fähig, als über den durch die Klage oder durch die Widerklage erhobenen Anspruch entschieden ist.</w:t>
      </w:r>
    </w:p>
    <w:p>
      <w:r>
        <w:t xml:space="preserve">(2) Hat der Beklagte die Aufrechnung einer Gegenforderung geltend gemacht, so ist die Entscheidung, dass die Gegenforderung nicht besteht, bis zur Höhe des Betrages, für den die Aufrechnung geltend gemacht worden ist, der Rechtskraft fähig.</w:t>
      </w:r>
    </w:p>
    <w:p>
      <w:r>
        <w:rPr>
          <w:color w:val="555555"/>
          <w:sz w:val="17"/>
        </w:rPr>
        <w:t xml:space="preserve">Zitiervorschlag: § 322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