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312 ZPO — Anwesenheit der Parteien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Wirksamkeit der Verkündung eines Urteils ist von der Anwesenheit der Parteien nicht abhängig. Die Verkündung gilt auch derjenigen Partei gegenüber als bewirkt, die den Termin versäumt hat.</w:t>
      </w:r>
    </w:p>
    <w:p>
      <w:r>
        <w:t xml:space="preserve">(2) Die Befugnis einer Partei, auf Grund eines verkündeten Urteils das Verfahren fortzusetzen oder von dem Urteil in anderer Weise Gebrauch zu machen, ist von der Zustellung an den Gegner nicht abhängig, soweit nicht dieses Gesetz ein anderes bestimmt.</w:t>
      </w:r>
    </w:p>
    <w:p>
      <w:r>
        <w:rPr>
          <w:color w:val="555555"/>
          <w:sz w:val="17"/>
        </w:rPr>
        <w:t xml:space="preserve">Zitiervorschlag: § 312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