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30a ZPO — Gerichtsstand bei Bergungsansprüchen</w:t>
      </w:r>
    </w:p>
    <w:p>
      <w:r>
        <w:rPr>
          <w:color w:val="555555"/>
          <w:sz w:val="18"/>
        </w:rPr>
        <w:t xml:space="preserve">Zivilprozessordnung</w:t>
      </w:r>
    </w:p>
    <w:p>
      <w:r>
        <w:rPr>
          <w:color w:val="555555"/>
          <w:sz w:val="18"/>
        </w:rPr>
        <w:t xml:space="preserve">Stand: 10.06.2019 (konsolidierte Textfassung, kein amtliches Inkrafttretensdatum)</w:t>
      </w:r>
    </w:p>
    <w:p>
      <w:r>
        <w:t xml:space="preserve">Für Klagen wegen Ansprüchen aus Bergung von Schiffen oder sonstigen Vermögensgegenständen in einem Gewässer gegen eine Person, die im Inland keinen Gerichtsstand hat, ist das Gericht zuständig, bei dem der Kläger im Inland seinen allgemeinen Gerichtsstand hat.</w:t>
      </w:r>
    </w:p>
    <w:p>
      <w:r>
        <w:rPr>
          <w:color w:val="555555"/>
          <w:sz w:val="17"/>
        </w:rPr>
        <w:t xml:space="preserve">Zitiervorschlag: § 30a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