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305 ZPO — Urteil unter Vorbehalt erbrechtlich beschränkter Haftung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Geltendmachung der dem Erben nach den §§ 2014, 2015 des Bürgerlichen Gesetzbuchs zustehenden Einreden wird eine unter dem Vorbehalt der beschränkten Haftung ergehende Verurteilung des Erben nicht ausgeschlossen.</w:t>
      </w:r>
    </w:p>
    <w:p>
      <w:r>
        <w:t xml:space="preserve">(2) Das Gleiche gilt für die Geltendmachung der Einreden, die im Falle der fortgesetzten Gütergemeinschaft dem überlebenden Ehegatten oder Lebenspartner nach dem § 1489 Abs. 2 und den §§ 2014, 2015 des Bürgerlichen Gesetzbuchs zustehen.</w:t>
      </w:r>
    </w:p>
    <w:p>
      <w:r>
        <w:rPr>
          <w:color w:val="555555"/>
          <w:sz w:val="17"/>
        </w:rPr>
        <w:t xml:space="preserve">Zitiervorschlag: § 305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