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304 ZPO — Zwischenurteil über den Grund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Anspruch nach Grund und Betrag streitig, so kann das Gericht über den Grund vorab entscheiden.</w:t>
      </w:r>
    </w:p>
    <w:p>
      <w:r>
        <w:t xml:space="preserve">(2) Das Urteil ist in Betreff der Rechtsmittel als Endurteil anzusehen; das Gericht kann jedoch, wenn der Anspruch für begründet erklärt ist, auf Antrag anordnen, dass über den Betrag zu verhandeln sei.</w:t>
      </w:r>
    </w:p>
    <w:p>
      <w:r>
        <w:rPr>
          <w:color w:val="555555"/>
          <w:sz w:val="17"/>
        </w:rPr>
        <w:t xml:space="preserve">Zitiervorschlag: § 304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