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29a ZPO — Ausschließlicher Gerichtsstand bei Miet- oder Pachträumen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Streitigkeiten über Ansprüche aus Miet- oder Pachtverhältnissen über Räume oder über das Bestehen solcher Verhältnisse ist das Gericht ausschließlich zuständig, in dessen Bezirk sich die Räume befinden.</w:t>
      </w:r>
    </w:p>
    <w:p>
      <w:r>
        <w:t xml:space="preserve">(2) Absatz 1 ist nicht anzuwenden, wenn es sich um Wohnraum der in § 549 Abs. 2 Nr. 1 bis 3 des Bürgerlichen Gesetzbuchs genannten Art handelt.</w:t>
      </w:r>
    </w:p>
    <w:p>
      <w:r>
        <w:rPr>
          <w:color w:val="555555"/>
          <w:sz w:val="17"/>
        </w:rPr>
        <w:t xml:space="preserve">Zitiervorschlag: § 29a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