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298a ZPO — Elektronische Akte; Verordnungsermächtigung</w:t>
      </w:r>
    </w:p>
    <w:p>
      <w:r>
        <w:rPr>
          <w:color w:val="555555"/>
          <w:sz w:val="18"/>
        </w:rPr>
        <w:t xml:space="preserve">Zivilprozessordnung</w:t>
      </w:r>
    </w:p>
    <w:p>
      <w:r>
        <w:rPr>
          <w:color w:val="555555"/>
          <w:sz w:val="18"/>
        </w:rPr>
        <w:t xml:space="preserve">Stand: 01.01.2026 (konsolidierte Textfassung, kein amtliches Inkrafttretensdatum)</w:t>
      </w:r>
    </w:p>
    <w:p>
      <w:r>
        <w:t xml:space="preserve">(1) Die Prozessakten werden elektronisch geführt.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in Satz 2 genannte Ermächtigung durch Rechtsverordnung auf die für die Zivilgerichtsbarkeit zuständigen obersten Landesbehörden übertragen. Die Rechtsverordnung der Bundesregierung bedarf nicht der Zustimmung des Bundesrates.</w:t>
      </w:r>
    </w:p>
    <w:p>
      <w:r>
        <w:t xml:space="preserve">(2) Werden die Prozessakten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t xml:space="preserve">(3) Akten, die in Papierform angelegt wurden, können in Papierform weitergeführt werden. Sie können ab einem bestimmten Stichtag oder Ereignis in elektronischer Form weitergeführt werden. Der Beginn der Weiterführung der Akten in elektronischer Form ist aktenkundig zu machen.</w:t>
      </w:r>
    </w:p>
    <w:p>
      <w:r>
        <w:t xml:space="preserve">(4)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298a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