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296 ZPO — Zurückweisung verspäteten Vorbringens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Angriffs- und Verteidigungsmittel, die erst nach Ablauf einer hierfür gesetzten Frist (§ 273 Abs. 2 Nr. 1 und, soweit die Fristsetzung gegenüber einer Partei ergeht, 5, § 275 Abs. 1 Satz 1, Abs. 3, 4, § 276 Abs. 1 Satz 2, Abs. 3, § 277) vorgebracht werden, sind nur zuzulassen, wenn nach der freien Überzeugung des Gerichts ihre Zulassung die Erledigung des Rechtsstreits nicht verzögern würde oder wenn die Partei die Verspätung genügend entschuldigt.</w:t>
      </w:r>
    </w:p>
    <w:p>
      <w:r>
        <w:t xml:space="preserve">(2) Angriffs- und Verteidigungsmittel, die entgegen § 282 Abs. 1 nicht rechtzeitig vorgebracht oder entgegen § 282 Abs. 2 nicht rechtzeitig mitgeteilt werden, können zurückgewiesen werden, wenn ihre Zulassung nach der freien Überzeugung des Gerichts die Erledigung des Rechtsstreits verzögern würde und die Verspätung auf grober Nachlässigkeit beruht.</w:t>
      </w:r>
    </w:p>
    <w:p>
      <w:r>
        <w:t xml:space="preserve">(3) Verspätete Rügen, die die Zulässigkeit der Klage betreffen und auf die der Beklagte verzichten kann, sind nur zuzulassen, wenn der Beklagte die Verspätung genügend entschuldigt.</w:t>
      </w:r>
    </w:p>
    <w:p>
      <w:r>
        <w:t xml:space="preserve">(4) In den Fällen der Absätze 1 und 3 ist der Entschuldigungsgrund auf Verlangen des Gerichts glaubhaft zu machen.</w:t>
      </w:r>
    </w:p>
    <w:p>
      <w:r>
        <w:rPr>
          <w:color w:val="555555"/>
          <w:sz w:val="17"/>
        </w:rPr>
        <w:t xml:space="preserve">Zitiervorschlag: § 296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