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287 ZPO — Schadensermittlung; Höhe der Forderung</w:t>
      </w:r>
    </w:p>
    <w:p>
      <w:r>
        <w:rPr>
          <w:color w:val="555555"/>
          <w:sz w:val="18"/>
        </w:rPr>
        <w:t xml:space="preserve">Zivilprozessordnung</w:t>
      </w:r>
    </w:p>
    <w:p>
      <w:r>
        <w:rPr>
          <w:color w:val="555555"/>
          <w:sz w:val="18"/>
        </w:rPr>
        <w:t xml:space="preserve">Stand: 10.06.2019 (konsolidierte Textfassung, kein amtliches Inkrafttretensdatum)</w:t>
      </w:r>
    </w:p>
    <w:p>
      <w:r>
        <w:t xml:space="preserve">(1) Ist unter den Parteien streitig, ob ein Schaden entstanden sei und wie hoch sich der Schaden oder ein zu ersetzendes Interesse belaufe, so entscheidet hierüber das Gericht unter Würdigung aller Umstände nach freier Überzeugung. Ob und inwieweit eine beantragte Beweisaufnahme oder von Amts wegen die Begutachtung durch Sachverständige anzuordnen sei, bleibt dem Ermessen des Gerichts überlassen. Das Gericht kann den Beweisführer über den Schaden oder das Interesse vernehmen; die Vorschriften des § 452 Abs. 1 Satz 1, Abs. 2 bis 4 gelten entsprechend.</w:t>
      </w:r>
    </w:p>
    <w:p>
      <w:r>
        <w:t xml:space="preserve">(2) Die Vorschriften des Absatzes 1 Satz 1, 2 sind bei vermögensrechtlichen Streitigkeiten auch in anderen Fällen entsprechend anzuwenden, soweit unter den Parteien die Höhe einer Forderung streitig ist und die vollständige Aufklärung aller hierfür maßgebenden Umstände mit Schwierigkeiten verbunden ist, die zu der Bedeutung des streitigen Teiles der Forderung in keinem Verhältnis stehen.</w:t>
      </w:r>
    </w:p>
    <w:p>
      <w:r>
        <w:rPr>
          <w:color w:val="555555"/>
          <w:sz w:val="17"/>
        </w:rPr>
        <w:t xml:space="preserve">Zitiervorschlag: § 287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