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ZPO — Erweiterter Gerichtsstand der Erbschaft</w:t>
      </w:r>
    </w:p>
    <w:p>
      <w:r>
        <w:rPr>
          <w:color w:val="555555"/>
          <w:sz w:val="18"/>
        </w:rPr>
        <w:t xml:space="preserve">Zivilprozessordnung</w:t>
      </w:r>
    </w:p>
    <w:p>
      <w:r>
        <w:rPr>
          <w:color w:val="555555"/>
          <w:sz w:val="18"/>
        </w:rPr>
        <w:t xml:space="preserve">Stand: 10.06.2019 (konsolidierte Textfassung, kein amtliches Inkrafttretensdatum)</w:t>
      </w:r>
    </w:p>
    <w:p>
      <w:r>
        <w:t xml:space="preserve">In dem Gerichtsstand der Erbschaft können auch Klagen wegen anderer Nachlassverbindlichkeiten erhoben werden, solange sich der Nachlass noch ganz oder teilweise im Bezirk des Gerichts befindet oder die vorhandenen mehreren Erben noch als Gesamtschuldner haften.</w:t>
      </w:r>
    </w:p>
    <w:p>
      <w:r>
        <w:rPr>
          <w:color w:val="555555"/>
          <w:sz w:val="17"/>
        </w:rPr>
        <w:t xml:space="preserve">Zitiervorschlag: § 28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