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272 ZPO — Bestimmung der Verfahrensweise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Rechtsstreit ist in der Regel in einem umfassend vorbereiteten Termin zur mündlichen Verhandlung (Haupttermin) zu erledigen.</w:t>
      </w:r>
    </w:p>
    <w:p>
      <w:r>
        <w:t xml:space="preserve">(2) Der Vorsitzende bestimmt entweder einen frühen ersten Termin zur mündlichen Verhandlung (§ 275) oder veranlasst ein schriftliches Vorverfahren (§ 276).</w:t>
      </w:r>
    </w:p>
    <w:p>
      <w:r>
        <w:t xml:space="preserve">(3) Die Güteverhandlung und die mündliche Verhandlung sollen so früh wie möglich stattfinden.</w:t>
      </w:r>
    </w:p>
    <w:p>
      <w:r>
        <w:t xml:space="preserve">(4) Räumungssachen sind vorrangig und beschleunigt durchzuführen.</w:t>
      </w:r>
    </w:p>
    <w:p>
      <w:r>
        <w:rPr>
          <w:color w:val="555555"/>
          <w:sz w:val="17"/>
        </w:rPr>
        <w:t xml:space="preserve">Zitiervorschlag: § 272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