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265 ZPO — Veräußerung oder Abtretung der Streitsache</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Rechtshängigkeit schließt das Recht der einen oder der anderen Partei nicht aus, die in Streit befangene Sache zu veräußern oder den geltend gemachten Anspruch abzutreten.</w:t>
      </w:r>
    </w:p>
    <w:p>
      <w:r>
        <w:t xml:space="preserve">(2) Die Veräußerung oder Abtretung hat auf den Prozess keinen Einfluss. Der Rechtsnachfolger ist nicht berechtigt, ohne Zustimmung des Gegners den Prozess als Hauptpartei an Stelle des Rechtsvorgängers zu übernehmen oder eine Hauptintervention zu erheben. Tritt der Rechtsnachfolger als Nebenintervenient auf, so ist § 69 nicht anzuwenden.</w:t>
      </w:r>
    </w:p>
    <w:p>
      <w:r>
        <w:t xml:space="preserve">(3) Hat der Kläger veräußert oder abgetreten, so kann ihm, sofern das Urteil nach § 325 gegen den Rechtsnachfolger nicht wirksam sein würde, der Einwand entgegengesetzt werden, dass er zur Geltendmachung des Anspruchs nicht mehr befugt sei.</w:t>
      </w:r>
    </w:p>
    <w:p>
      <w:r>
        <w:rPr>
          <w:color w:val="555555"/>
          <w:sz w:val="17"/>
        </w:rPr>
        <w:t xml:space="preserve">Zitiervorschlag: § 265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https://recht.nulegal.eu/gesetze/ZPO/265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