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264 ZPO — Keine Klageänderung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eine Änderung der Klage ist es nicht anzusehen, wenn ohne Änderung des Klagegrundes</w:t>
      </w:r>
    </w:p>
    <w:p>
      <w:pPr>
        <w:ind w:left="420"/>
      </w:pPr>
      <w:r>
        <w:t xml:space="preserve">1. die tatsächlichen oder rechtlichen Anführungen ergänzt oder berichtigt werden;</w:t>
      </w:r>
    </w:p>
    <w:p>
      <w:pPr>
        <w:ind w:left="420"/>
      </w:pPr>
      <w:r>
        <w:t xml:space="preserve">2. der Klageantrag in der Hauptsache oder in Bezug auf Nebenforderungen erweitert oder beschränkt wird;</w:t>
      </w:r>
    </w:p>
    <w:p>
      <w:pPr>
        <w:ind w:left="420"/>
      </w:pPr>
      <w:r>
        <w:t xml:space="preserve">3. statt des ursprünglich geforderten Gegenstandes wegen einer später eingetretenen Veränderung ein anderer Gegenstand oder das Interesse gefordert wird.</w:t>
      </w:r>
    </w:p>
    <w:p>
      <w:r>
        <w:rPr>
          <w:color w:val="555555"/>
          <w:sz w:val="17"/>
        </w:rPr>
        <w:t xml:space="preserve">Zitiervorschlag: § 264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