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261 ZPO — Rechtshängigkeit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Erhebung der Klage wird die Rechtshängigkeit der Streitsache begründet.</w:t>
      </w:r>
    </w:p>
    <w:p>
      <w:r>
        <w:t xml:space="preserve">(2) Die Rechtshängigkeit eines erst im Laufe des Prozesses erhobenen Anspruchs tritt mit dem Zeitpunkt ein, in dem der Anspruch in der mündlichen Verhandlung geltend gemacht oder ein den Erfordernissen des § 253 Abs. 2 Nr. 2 entsprechender Schriftsatz zugestellt wird.</w:t>
      </w:r>
    </w:p>
    <w:p>
      <w:r>
        <w:t xml:space="preserve">(3) Die Rechtshängigkeit hat folgende Wirkungen:</w:t>
      </w:r>
    </w:p>
    <w:p>
      <w:pPr>
        <w:ind w:left="420"/>
      </w:pPr>
      <w:r>
        <w:t xml:space="preserve">1. während der Dauer der Rechtshängigkeit kann die Streitsache von keiner Partei anderweitig anhängig gemacht werden;</w:t>
      </w:r>
    </w:p>
    <w:p>
      <w:pPr>
        <w:ind w:left="420"/>
      </w:pPr>
      <w:r>
        <w:t xml:space="preserve">2. die Zuständigkeit des Prozessgerichts wird durch eine Veränderung der sie begründenden Umstände nicht berührt.</w:t>
      </w:r>
    </w:p>
    <w:p>
      <w:r>
        <w:rPr>
          <w:color w:val="555555"/>
          <w:sz w:val="17"/>
        </w:rPr>
        <w:t xml:space="preserve">Zitiervorschlag: § 261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