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25 ZPO — Dinglicher Gerichtsstand des Sachzusammenhanges</w:t>
      </w:r>
    </w:p>
    <w:p>
      <w:r>
        <w:rPr>
          <w:color w:val="555555"/>
          <w:sz w:val="18"/>
        </w:rPr>
        <w:t xml:space="preserve">Zivilprozessordnung</w:t>
      </w:r>
    </w:p>
    <w:p>
      <w:r>
        <w:rPr>
          <w:color w:val="555555"/>
          <w:sz w:val="18"/>
        </w:rPr>
        <w:t xml:space="preserve">Stand: 10.06.2019 (konsolidierte Textfassung, kein amtliches Inkrafttretensdatum)</w:t>
      </w:r>
    </w:p>
    <w:p>
      <w:r>
        <w:t xml:space="preserve">In dem dinglichen Gerichtsstand kann mit der Klage aus einer Hypothek, Grundschuld oder Rentenschuld die Schuldklage, mit der Klage auf Umschreibung oder Löschung einer Hypothek, Grundschuld oder Rentenschuld die Klage auf Befreiung von der persönlichen Verbindlichkeit, mit der Klage auf Anerkennung einer Reallast die Klage auf rückständige Leistungen erhoben werden, wenn die verbundenen Klagen gegen denselben Beklagten gerichtet sind.</w:t>
      </w:r>
    </w:p>
    <w:p>
      <w:r>
        <w:rPr>
          <w:color w:val="555555"/>
          <w:sz w:val="17"/>
        </w:rPr>
        <w:t xml:space="preserve">Zitiervorschlag: § 25 ZPO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https://recht.nulegal.eu/gesetze/ZPO/25</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