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242 ZPO — Unterbrechung durch Nacherbfolge</w:t>
      </w:r>
    </w:p>
    <w:p>
      <w:r>
        <w:rPr>
          <w:color w:val="555555"/>
          <w:sz w:val="18"/>
        </w:rPr>
        <w:t xml:space="preserve">Zivilprozessordnung</w:t>
      </w:r>
    </w:p>
    <w:p>
      <w:r>
        <w:rPr>
          <w:color w:val="555555"/>
          <w:sz w:val="18"/>
        </w:rPr>
        <w:t xml:space="preserve">Stand: 10.06.2019 (konsolidierte Textfassung, kein amtliches Inkrafttretensdatum)</w:t>
      </w:r>
    </w:p>
    <w:p>
      <w:r>
        <w:t xml:space="preserve">Tritt während des Rechtsstreits zwischen einem Vorerben und einem Dritten über einen der Nacherbfolge unterliegenden Gegenstand der Fall der Nacherbfolge ein, so gelten, sofern der Vorerbe befugt war, ohne Zustimmung des Nacherben über den Gegenstand zu verfügen, hinsichtlich der Unterbrechung und der Aufnahme des Verfahrens die Vorschriften des § 239 entsprechend.</w:t>
      </w:r>
    </w:p>
    <w:p>
      <w:r>
        <w:rPr>
          <w:color w:val="555555"/>
          <w:sz w:val="17"/>
        </w:rPr>
        <w:t xml:space="preserve">Zitiervorschlag: § 242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