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ZPO — Ausschließlicher dinglicher Gerichtsstand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Klagen, durch die das Eigentum, eine dingliche Belastung oder die Freiheit von einer solchen geltend gemacht wird, für Grenzscheidungs-, Teilungs- und Besitzklagen ist, sofern es sich um unbewegliche Sachen handelt, das Gericht ausschließlich zuständig, in dessen Bezirk die Sache belegen ist.</w:t>
      </w:r>
    </w:p>
    <w:p>
      <w:r>
        <w:t xml:space="preserve">(2) Bei den eine Grunddienstbarkeit, eine Reallast oder ein Vorkaufsrecht betreffenden Klagen ist die Lage des dienenden oder belasteten Grundstücks entscheidend.</w:t>
      </w:r>
    </w:p>
    <w:p>
      <w:r>
        <w:rPr>
          <w:color w:val="555555"/>
          <w:sz w:val="17"/>
        </w:rPr>
        <w:t xml:space="preserve">Zitiervorschlag: § 24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