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236 ZPO — Wiedereinsetzungsantrag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Form des Antrags auf Wiedereinsetzung richtet sich nach den Vorschriften, die für die versäumte Prozesshandlung gelten.</w:t>
      </w:r>
    </w:p>
    <w:p>
      <w:r>
        <w:t xml:space="preserve">(2) Der Antrag muss die Angabe der die Wiedereinsetzung begründenden Tatsachen enthalten; diese sind bei der Antragstellung oder im Verfahren über den Antrag glaubhaft zu machen. Innerhalb der Antragsfrist ist die versäumte Prozesshandlung nachzuholen; ist dies geschehen, so kann Wiedereinsetzung auch ohne Antrag gewährt werden.</w:t>
      </w:r>
    </w:p>
    <w:p>
      <w:r>
        <w:rPr>
          <w:color w:val="555555"/>
          <w:sz w:val="17"/>
        </w:rPr>
        <w:t xml:space="preserve">Zitiervorschlag: § 236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