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226 ZPO — Abkürzung von Zwischenfristen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Einlassungsfristen, Ladungsfristen sowie diejenigen Fristen, die für die Zustellung vorbereitender Schriftsätze bestimmt sind, können auf Antrag abgekürzt werden.</w:t>
      </w:r>
    </w:p>
    <w:p>
      <w:r>
        <w:t xml:space="preserve">(2) Die Abkürzung der Einlassungs- und der Ladungsfristen wird dadurch nicht ausgeschlossen, dass infolge der Abkürzung die mündliche Verhandlung durch Schriftsätze nicht vorbereitet werden kann.</w:t>
      </w:r>
    </w:p>
    <w:p>
      <w:r>
        <w:t xml:space="preserve">(3) Der Vorsitzende kann bei Bestimmung des Termins die Abkürzung ohne Anhörung des Gegners und des sonst Beteiligten verfügen; diese Verfügung ist dem Beteiligten abschriftlich mitzuteilen.</w:t>
      </w:r>
    </w:p>
    <w:p>
      <w:r>
        <w:rPr>
          <w:color w:val="555555"/>
          <w:sz w:val="17"/>
        </w:rPr>
        <w:t xml:space="preserve">Zitiervorschlag: § 226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