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218 ZPO — Entbehrlichkeit der Ladung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 Terminen, die in verkündeten Entscheidungen bestimmt sind, ist eine Ladung der Parteien unbeschadet der Vorschriften des § 141 Abs. 2 nicht erforderlich.</w:t>
      </w:r>
    </w:p>
    <w:p>
      <w:r>
        <w:rPr>
          <w:color w:val="555555"/>
          <w:sz w:val="17"/>
        </w:rPr>
        <w:t xml:space="preserve">Zitiervorschlag: § 218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