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ZPO — Besonderer Gerichtsstand der Niederlassung</w:t>
      </w:r>
    </w:p>
    <w:p>
      <w:r>
        <w:rPr>
          <w:color w:val="555555"/>
          <w:sz w:val="18"/>
        </w:rPr>
        <w:t xml:space="preserve">Zivilprozessordnung</w:t>
      </w:r>
    </w:p>
    <w:p>
      <w:r>
        <w:rPr>
          <w:color w:val="555555"/>
          <w:sz w:val="18"/>
        </w:rPr>
        <w:t xml:space="preserve">Stand: 10.06.2019 (konsolidierte Textfassung, kein amtliches Inkrafttretensdatum)</w:t>
      </w:r>
    </w:p>
    <w:p>
      <w:r>
        <w:t xml:space="preserve">(1) Hat jemand zum Betrieb einer Fabrik, einer Handlung oder eines anderen Gewerbes eine Niederlassung, von der aus unmittelbar Geschäfte geschlossen werden, so können gegen ihn alle Klagen, die auf den Geschäftsbetrieb der Niederlassung Bezug haben, bei dem Gericht des Ortes erhoben werden, wo die Niederlassung sich befindet.</w:t>
      </w:r>
    </w:p>
    <w:p>
      <w:r>
        <w:t xml:space="preserve">(2) Der Gerichtsstand der Niederlassung ist auch für Klagen gegen Personen begründet, die ein mit Wohn- und Wirtschaftsgebäuden versehenes Gut als Eigentümer, Nutznießer oder Pächter bewirtschaften, soweit diese Klagen die auf die Bewirtschaftung des Gutes sich beziehenden Rechtsverhältnisse betreffen.</w:t>
      </w:r>
    </w:p>
    <w:p>
      <w:r>
        <w:rPr>
          <w:color w:val="555555"/>
          <w:sz w:val="17"/>
        </w:rPr>
        <w:t xml:space="preserve">Zitiervorschlag: § 21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