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19b ZPO — Ausschließlicher Gerichtsstand bei restrukturierungsbezogenen Klagen; Verordnungsermächtigung</w:t>
      </w:r>
    </w:p>
    <w:p>
      <w:r>
        <w:rPr>
          <w:color w:val="555555"/>
          <w:sz w:val="18"/>
        </w:rPr>
        <w:t xml:space="preserve">Zivilprozessordnung</w:t>
      </w:r>
    </w:p>
    <w:p>
      <w:r>
        <w:rPr>
          <w:color w:val="555555"/>
          <w:sz w:val="18"/>
        </w:rPr>
        <w:t xml:space="preserve">Stand: 01.01.2021 (konsolidierte Textfassung, kein amtliches Inkrafttretensdatum)</w:t>
      </w:r>
    </w:p>
    <w:p>
      <w:r>
        <w:t xml:space="preserve">(1) Für Klagen, die sich auf Restrukturierungssachen nach dem Unternehmensstabilisierungs- und -restrukturierungsgesetz beziehen, ist ausschließlich das Gericht zuständig, in dessen Bezirk das für die Restrukturierungssache zuständige Restrukturierungsgericht seinen Sitz hat.</w:t>
      </w:r>
    </w:p>
    <w:p>
      <w:r>
        <w:t xml:space="preserve">(2) Die Landesregierungen werden ermächtigt, durch Rechtsverordnung die in Absatz 1 genannten Klagen einem Landgericht für die Bezirke mehrerer Oberlandesgerichte zuzuweisen, sofern dies der sachlichen Förderung oder schnelleren Erledigung der Verfahren dienlich ist. Die Landesregierungen können diese Ermächtigung durch Rechtsverordnung auf die Landesjustizverwaltungen übertragen.</w:t>
      </w:r>
    </w:p>
    <w:p>
      <w:r>
        <w:rPr>
          <w:color w:val="555555"/>
          <w:sz w:val="17"/>
        </w:rPr>
        <w:t xml:space="preserve">Zitiervorschlag: § 19b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