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188 ZPO — Zeitpunkt der öffentlichen Zustellung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Schriftstück gilt als zugestellt, wenn seit dem Aushang der Benachrichtigung ein Monat vergangen ist. Das Prozessgericht kann eine längere Frist bestimmen.</w:t>
      </w:r>
    </w:p>
    <w:p>
      <w:r>
        <w:rPr>
          <w:color w:val="555555"/>
          <w:sz w:val="17"/>
        </w:rPr>
        <w:t xml:space="preserve">Zitiervorschlag: § 188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