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161 ZPO — Entbehrliche Feststellungen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Feststellungen nach § 160 Abs. 3 Nr. 4 und 5 brauchen nicht in das Protokoll aufgenommen zu werden,</w:t>
      </w:r>
    </w:p>
    <w:p>
      <w:pPr>
        <w:ind w:left="420"/>
      </w:pPr>
      <w:r>
        <w:t xml:space="preserve">1. wenn das Prozessgericht die Vernehmung oder den Augenschein durchführt und das Endurteil der Berufung oder der Revision nicht unterliegt;</w:t>
      </w:r>
    </w:p>
    <w:p>
      <w:pPr>
        <w:ind w:left="420"/>
      </w:pPr>
      <w:r>
        <w:t xml:space="preserve">2. soweit die Klage zurückgenommen, der geltend gemachte Anspruch anerkannt oder auf ihn verzichtet wird, auf ein Rechtsmittel verzichtet oder der Rechtsstreit durch einen Vergleich beendet wird.</w:t>
      </w:r>
    </w:p>
    <w:p>
      <w:r>
        <w:t xml:space="preserve">(2) In dem Protokoll ist zu vermerken, dass die Vernehmung oder der Augenschein durchgeführt worden ist. § 160a Abs. 3 gilt entsprechend.</w:t>
      </w:r>
    </w:p>
    <w:p>
      <w:r>
        <w:rPr>
          <w:color w:val="555555"/>
          <w:sz w:val="17"/>
        </w:rPr>
        <w:t xml:space="preserve">Zitiervorschlag: § 161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