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ZPO — Augenschein; Sachverständige</w:t>
      </w:r>
    </w:p>
    <w:p>
      <w:r>
        <w:rPr>
          <w:color w:val="555555"/>
          <w:sz w:val="18"/>
        </w:rPr>
        <w:t xml:space="preserve">Zivilprozessordnung</w:t>
      </w:r>
    </w:p>
    <w:p>
      <w:r>
        <w:rPr>
          <w:color w:val="555555"/>
          <w:sz w:val="18"/>
        </w:rPr>
        <w:t xml:space="preserve">Stand: 10.01.2020 (konsolidierte Textfassung, kein amtliches Inkrafttretensdatum)</w:t>
      </w:r>
    </w:p>
    <w:p>
      <w:r>
        <w:t xml:space="preserve">(1) Das Gericht kann die Einnahme des Augenscheins sowie die Hinzuziehung von Sachverständigen anordnen. Es kann zu diesem Zweck einer Partei oder einem Dritten die Vorlegung eines in ihrem oder seinem Besitz befindlichen Gegenstandes aufgeben und hierfür eine Frist setzen. Es kann auch die Duldung der Maßnahme nach Satz 1 aufgeben, sofern nicht eine Wohnung betroffen ist.</w:t>
      </w:r>
    </w:p>
    <w:p>
      <w:r>
        <w:t xml:space="preserve">(2) Dritte sind zur Vorlegung oder Duldung nicht verpflichtet, soweit ihnen diese nicht zumutbar ist oder sie zur Zeugnisverweigerung gemäß den §§ 383 bis 385 berechtigt sind. Die §§ 386 bis 390 gelten entsprechend.</w:t>
      </w:r>
    </w:p>
    <w:p>
      <w:r>
        <w:t xml:space="preserve">(3) Die Vorschriften, die eine auf Antrag angeordnete Einnahme des Augenscheins oder Begutachtung durch Sachverständige zum Gegenstand haben, sind entsprechend anzuwenden.</w:t>
      </w:r>
    </w:p>
    <w:p>
      <w:r>
        <w:rPr>
          <w:color w:val="555555"/>
          <w:sz w:val="17"/>
        </w:rPr>
        <w:t xml:space="preserve">Zitiervorschlag: § 144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