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ZPO — Einsicht von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 ist, wenn sie rechtzeitig aufgefordert wird, verpflichtet, die in ihren Händen befindlichen Urkunden, auf die sie in einem vorbereitenden Schriftsatz Bezug genommen hat, vor der mündlichen Verhandlung auf der Geschäftsstelle niederzulegen und den Gegner von der Niederlegung zu benachrichtigen.</w:t>
      </w:r>
    </w:p>
    <w:p>
      <w:r>
        <w:t xml:space="preserve">(2) Der Gegner hat zur Einsicht der Urkunden eine Frist von drei Tagen. Die Frist kann auf Antrag von dem Vorsitzenden verlängert oder abgekürzt werden.</w:t>
      </w:r>
    </w:p>
    <w:p>
      <w:r>
        <w:rPr>
          <w:color w:val="555555"/>
          <w:sz w:val="17"/>
        </w:rPr>
        <w:t xml:space="preserve">Zitiervorschlag: § 134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