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ZPO — Bewilligung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Bewilligung der Prozesskostenhilfe erfolgt für jeden Rechtszug besonders. In einem höheren Rechtszug ist nicht zu prüfen, ob die Rechtsverfolgung oder Rechtsverteidigung hinreichende Aussicht auf Erfolg bietet oder mutwillig erscheint, wenn der Gegner das Rechtsmittel eingelegt hat.</w:t>
      </w:r>
    </w:p>
    <w:p>
      <w:r>
        <w:t xml:space="preserve">(2) Die Bewilligung von Prozesskostenhilfe für die Zwangsvollstreckung in das bewegliche Vermögen umfasst alle Vollstreckungshandlungen im Bezirk des Vollstreckungsgerichts einschließlich des Verfahrens auf Abgabe der Vermögensauskunft und der eidesstattlichen Versicherung.</w:t>
      </w:r>
    </w:p>
    <w:p>
      <w:r>
        <w:rPr>
          <w:color w:val="555555"/>
          <w:sz w:val="17"/>
        </w:rPr>
        <w:t xml:space="preserve">Zitiervorschlag: § 119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