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1127 ZPO — Verhandlung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In geeigneten Fällen kann das Gericht abweichend von § 128 Absatz 1 eine Entscheidung ohne mündliche Verhandlung treffen. Das Gericht bestimmt insbesondere einen Termin zur mündlichen Verhandlung,</w:t>
      </w:r>
    </w:p>
    <w:p>
      <w:pPr>
        <w:ind w:left="420"/>
      </w:pPr>
      <w:r>
        <w:t xml:space="preserve">1. wenn es diese aufgrund einer Beweisaufnahme für erforderlich erachtet,</w:t>
      </w:r>
    </w:p>
    <w:p>
      <w:pPr>
        <w:ind w:left="420"/>
      </w:pPr>
      <w:r>
        <w:t xml:space="preserve">2. wenn die Ermöglichung höchstpersönlicher mündlicher Äußerungen geboten erscheint,</w:t>
      </w:r>
    </w:p>
    <w:p>
      <w:pPr>
        <w:ind w:left="420"/>
      </w:pPr>
      <w:r>
        <w:t xml:space="preserve">3. wenn es diese zum Zweck der gütlichen Beilegung des Rechtsstreits für erforderlich erachtet oder</w:t>
      </w:r>
    </w:p>
    <w:p>
      <w:pPr>
        <w:ind w:left="420"/>
      </w:pPr>
      <w:r>
        <w:t xml:space="preserve">4. wenn mindestens eine der Parteien die mündliche Verhandlung beantragt; Artikel 5 Absatz 1a Satz 2 bis 4 der Verordnung (EG) Nr. 861/2007 gilt entsprechend.</w:t>
      </w:r>
    </w:p>
    <w:p>
      <w:r>
        <w:t xml:space="preserve">Für die Bestimmung eines Termins zur Durchführung einer Güteverhandlung gilt Satz 2 Nummer 3 entsprechend.</w:t>
      </w:r>
    </w:p>
    <w:p>
      <w:r>
        <w:t xml:space="preserve">(2) Bei einer Entscheidung ohne mündliche Verhandlung bestimmt das Gericht alsbald den Zeitpunkt, bis zu dem Anträge und Erklärungen der Parteien eingereicht werden können, und den Termin der Entscheidung.</w:t>
      </w:r>
    </w:p>
    <w:p>
      <w:r>
        <w:t xml:space="preserve">(3) Bestimmt das Gericht einen Termin zur Güteverhandlung oder zur mündlichen Verhandlung, so soll dieser als Videoverhandlung nach § 128a stattfinden. Mit Einverständnis der Parteien kann das Gericht abweichend von Satz 1 anordnen, dass eine Güteverhandlung oder eine mündliche Verhandlung durch Tonübertragung oder mithilfe anderer geeigneter digitaler Kommunikationsmittel stattfindet.</w:t>
      </w:r>
    </w:p>
    <w:p>
      <w:r>
        <w:t xml:space="preserve">(4) Vorbehaltlich der Absätze 1 bis 3 kann das Gericht das Verfahren abweichend von den §§ 275 und 276 in Verbindung mit § 495 nach billigem Ermessen bestimmen.</w:t>
      </w:r>
    </w:p>
    <w:p>
      <w:r>
        <w:t xml:space="preserve">(5) Als vorbereitende Maßnahme nach § 273 in Verbindung mit § 495 kann das Gericht Auskünfte aus allgemein zugänglichen Quellen abrufen. Dies betrifft auch offenkundige Tatsachen nach § 291, die nicht von den Parteien vorgebracht wurden. Das Gericht hat die Parteien auf die verwendete Quelle hinzuweisen und das Ergebnis der Auskunft in einer für die Parteien nachvollziehbaren Weise offenzulegen.</w:t>
      </w:r>
    </w:p>
    <w:p>
      <w:r>
        <w:rPr>
          <w:color w:val="555555"/>
          <w:sz w:val="17"/>
        </w:rPr>
        <w:t xml:space="preserve">Zitiervorschlag: § 1127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