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1126 ZPO — Digitale Strukturierung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Das Gericht kann Maßnahmen der Prozessleitung ergreifen, um den Streitstoff zu strukturieren. Für die Strukturierung nach Satz 1 können digitale Eingabesysteme nach § 1124 Absatz 2 oder elektronische Dokumente genutzt werden.</w:t>
      </w:r>
    </w:p>
    <w:p>
      <w:r>
        <w:t xml:space="preserve">(2) Das Gericht kann insbesondere</w:t>
      </w:r>
    </w:p>
    <w:p>
      <w:pPr>
        <w:ind w:left="420"/>
      </w:pPr>
      <w:r>
        <w:t xml:space="preserve">1. anordnen, dass der Beklagte die Klageerwiderung sowie die Parteien ihren jeweiligen weiteren Vortrag demjenigen der anderen Partei in digitaler Form gegenüberstellen oder in einem digitalen Verfahrensdokument ergänzen, und</w:t>
      </w:r>
    </w:p>
    <w:p>
      <w:pPr>
        <w:ind w:left="420"/>
      </w:pPr>
      <w:r>
        <w:t xml:space="preserve">2. den Parteien die Ergänzung oder Erläuterung ihres Vortrags durch Zuordnung von Eingabefeldern zum jeweiligen Streitstoff aufgeben; hiermit kann eine Frist zur Erklärung über bestimmte klärungsbedürftige Punkte verbunden werden.</w:t>
      </w:r>
    </w:p>
    <w:p>
      <w:r>
        <w:rPr>
          <w:color w:val="555555"/>
          <w:sz w:val="17"/>
        </w:rPr>
        <w:t xml:space="preserve">Zitiervorschlag: § 1126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