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1125 ZPO — Digitale Eingabesysteme im Online-Verfahren; Verordnungsermächtigung</w:t>
      </w:r>
    </w:p>
    <w:p>
      <w:r>
        <w:rPr>
          <w:color w:val="555555"/>
          <w:sz w:val="18"/>
        </w:rPr>
        <w:t xml:space="preserve">Zivilprozessordnung</w:t>
      </w:r>
    </w:p>
    <w:p>
      <w:r>
        <w:rPr>
          <w:color w:val="555555"/>
          <w:sz w:val="18"/>
        </w:rPr>
        <w:t xml:space="preserve">Stand: 08.01.2026 (konsolidierte Textfassung, kein amtliches Inkrafttretensdatum)</w:t>
      </w:r>
    </w:p>
    <w:p>
      <w:r>
        <w:t xml:space="preserve">(1) Die digitalen Eingabesysteme nach § 1124 Absatz 1 und 2 werden vom Bundesministerium der Justiz und für Verbraucherschutz als Referenzimplementierung entwickelt und den Ländern zur Anwendung bei den nach § 1123 bestimmten Gerichten bundeseinheitlich bereitgestellt. Die Länder können weitere digitale Eingabesysteme entwickeln und zur Anwendung bei den nach § 1123 bestimmten Gerichten bundeseinheitlich bereitstellen. Das Bundesministerium der Justiz und für Verbraucherschutz wird ermächtigt, durch Rechtsverordnung mit Zustimmung des Bundesrates die technischen, organisatorischen und datenschutzrechtlichen Rahmenbedingungen für Entwicklung, Betrieb, Pflege und Weiterentwicklung der digitalen Eingabesysteme zu bestimmen.</w:t>
      </w:r>
    </w:p>
    <w:p>
      <w:r>
        <w:t xml:space="preserve">(2) Die nach Absatz 1 entwickelten digitalen Eingabesysteme sind über ein Justizportal des Bundes und der Länder für die Nutzer bereitzustellen. Sie sind nach Maßgabe der Barrierefreie-Informationstechnik-Verordnung barrierefrei zu gestalten. Ferner ist bei der Gestaltung der digitalen Eingabesysteme deren Nutzerfreundlichkeit sowie eine einfache und intuitive Bedienbarkeit sicherzustellen.</w:t>
      </w:r>
    </w:p>
    <w:p>
      <w:r>
        <w:t xml:space="preserve">(3) Die Stelle, die digitale Eingabesysteme nach Absatz 1 bereitstellt, darf personenbezogene Daten nur verarbeiten, soweit dies für die Nutzung der digitalen Eingabesysteme nach § 1124 Absatz 1 und 2 erforderlich ist. Die Daten dürfen in den digitalen Eingabesystemen zwischengespeichert werden, um dem Nutzer zu ermöglichen, sie zu einem späteren Zeitpunkt zu vervollständigen, zu korrigieren oder zu löschen. Die zwischengespeicherten Daten sind spätestens 30 Tage nach der letzten Bearbeitung der digitalen Eingabesysteme automatisch zu löschen.</w:t>
      </w:r>
    </w:p>
    <w:p>
      <w:r>
        <w:t xml:space="preserve">(4) Anträge und Erklärungen, die mithilfe digitaler Eingabesysteme erstellt wurden, können abweichend von § 2 Absatz 1 der Elektronischer-Rechtsverkehr-Verordnung als strukturierter Datensatz übermittelt werden, sofern für diesen im Online-Verfahren eine automatisierte Bearbeitung durch das Gericht eröffnet ist.</w:t>
      </w:r>
    </w:p>
    <w:p>
      <w:r>
        <w:rPr>
          <w:color w:val="555555"/>
          <w:sz w:val="17"/>
        </w:rPr>
        <w:t xml:space="preserve">Zitiervorschlag: § 1125 ZPO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https://recht.nulegal.eu/gesetze/ZPO/1125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